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4423A3" w14:textId="12E5B779" w:rsidR="0069598A" w:rsidRPr="003F6982" w:rsidRDefault="0069598A" w:rsidP="003F6982">
      <w:pPr>
        <w:jc w:val="right"/>
        <w:rPr>
          <w:b/>
          <w:bCs/>
          <w:i/>
          <w:sz w:val="22"/>
          <w:szCs w:val="22"/>
        </w:rPr>
      </w:pPr>
      <w:r w:rsidRPr="003F6982">
        <w:rPr>
          <w:b/>
          <w:bCs/>
          <w:i/>
          <w:sz w:val="22"/>
          <w:szCs w:val="22"/>
        </w:rPr>
        <w:t>Załącznik nr 3 do SWZ</w:t>
      </w:r>
      <w:r w:rsidR="003F6982" w:rsidRPr="003F6982">
        <w:rPr>
          <w:b/>
          <w:bCs/>
          <w:i/>
          <w:sz w:val="22"/>
          <w:szCs w:val="22"/>
        </w:rPr>
        <w:t xml:space="preserve"> po modyfikacji z dnia 12.09.2025r.</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310AEE">
      <w:pPr>
        <w:numPr>
          <w:ilvl w:val="0"/>
          <w:numId w:val="37"/>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6124C304" w14:textId="6A3C82DB" w:rsidR="0069598A" w:rsidRPr="00830227" w:rsidRDefault="0069598A" w:rsidP="0069598A">
      <w:pPr>
        <w:rPr>
          <w:i/>
          <w:iCs/>
          <w:color w:val="FF0000"/>
          <w:sz w:val="10"/>
          <w:szCs w:val="10"/>
        </w:rPr>
      </w:pPr>
    </w:p>
    <w:p w14:paraId="57C4B261" w14:textId="4D8921A9" w:rsidR="00830227" w:rsidRPr="00E83DAA" w:rsidRDefault="00830227" w:rsidP="00830227">
      <w:pPr>
        <w:autoSpaceDE w:val="0"/>
        <w:autoSpaceDN w:val="0"/>
        <w:adjustRightInd w:val="0"/>
        <w:jc w:val="center"/>
        <w:rPr>
          <w:rFonts w:eastAsiaTheme="minorHAnsi"/>
          <w:b/>
          <w:sz w:val="22"/>
          <w:szCs w:val="22"/>
          <w:lang w:eastAsia="en-US"/>
        </w:rPr>
      </w:pPr>
      <w:r w:rsidRPr="00E83DAA">
        <w:rPr>
          <w:rFonts w:eastAsiaTheme="minorHAnsi"/>
          <w:b/>
          <w:sz w:val="22"/>
          <w:szCs w:val="22"/>
          <w:lang w:eastAsia="en-US"/>
        </w:rPr>
        <w:t xml:space="preserve">MATA IZOLACYJNA TKANA JEDNOLITA Z WŁÓKIEN POLIESTROWYCH </w:t>
      </w:r>
      <w:r w:rsidR="003F6982">
        <w:rPr>
          <w:rFonts w:eastAsiaTheme="minorHAnsi"/>
          <w:b/>
          <w:sz w:val="22"/>
          <w:szCs w:val="22"/>
          <w:lang w:eastAsia="en-US"/>
        </w:rPr>
        <w:br/>
      </w:r>
      <w:r w:rsidRPr="00E83DAA">
        <w:rPr>
          <w:rFonts w:eastAsiaTheme="minorHAnsi"/>
          <w:b/>
          <w:sz w:val="22"/>
          <w:szCs w:val="22"/>
          <w:lang w:eastAsia="en-US"/>
        </w:rPr>
        <w:t>DO OCIOSU I STROPU</w:t>
      </w:r>
    </w:p>
    <w:p w14:paraId="2E74F416" w14:textId="77777777" w:rsidR="00830227" w:rsidRPr="00830227" w:rsidRDefault="00830227" w:rsidP="0069598A">
      <w:pPr>
        <w:rPr>
          <w:i/>
          <w:iCs/>
          <w:color w:val="FF0000"/>
          <w:sz w:val="4"/>
          <w:szCs w:val="4"/>
        </w:rPr>
      </w:pP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252"/>
        <w:gridCol w:w="3970"/>
      </w:tblGrid>
      <w:tr w:rsidR="00830227" w:rsidRPr="00E83DAA" w14:paraId="63131276" w14:textId="77777777" w:rsidTr="00830227">
        <w:trPr>
          <w:tblHeader/>
        </w:trPr>
        <w:tc>
          <w:tcPr>
            <w:tcW w:w="921" w:type="dxa"/>
            <w:vAlign w:val="center"/>
          </w:tcPr>
          <w:p w14:paraId="15FC4BCF" w14:textId="77777777" w:rsidR="00830227" w:rsidRPr="00E83DAA" w:rsidRDefault="00830227" w:rsidP="00F72F4C">
            <w:pPr>
              <w:jc w:val="center"/>
              <w:rPr>
                <w:b/>
                <w:sz w:val="22"/>
                <w:szCs w:val="22"/>
              </w:rPr>
            </w:pPr>
            <w:bookmarkStart w:id="0" w:name="_Hlk9317269"/>
            <w:r>
              <w:rPr>
                <w:b/>
                <w:sz w:val="22"/>
                <w:szCs w:val="22"/>
              </w:rPr>
              <w:t>L.p.</w:t>
            </w:r>
          </w:p>
        </w:tc>
        <w:tc>
          <w:tcPr>
            <w:tcW w:w="4252" w:type="dxa"/>
            <w:vAlign w:val="center"/>
          </w:tcPr>
          <w:p w14:paraId="0AF50564" w14:textId="77777777" w:rsidR="00830227" w:rsidRPr="00E83DAA" w:rsidRDefault="00830227" w:rsidP="00F72F4C">
            <w:pPr>
              <w:jc w:val="center"/>
              <w:rPr>
                <w:b/>
                <w:sz w:val="22"/>
                <w:szCs w:val="22"/>
              </w:rPr>
            </w:pPr>
            <w:r w:rsidRPr="00E83DAA">
              <w:rPr>
                <w:b/>
                <w:sz w:val="22"/>
                <w:szCs w:val="22"/>
              </w:rPr>
              <w:t>Parametry wymagane przez Zamawiającego</w:t>
            </w:r>
          </w:p>
        </w:tc>
        <w:tc>
          <w:tcPr>
            <w:tcW w:w="3970" w:type="dxa"/>
            <w:vAlign w:val="center"/>
          </w:tcPr>
          <w:p w14:paraId="74DC81DA" w14:textId="77777777" w:rsidR="00830227" w:rsidRPr="00E83DAA" w:rsidRDefault="00830227" w:rsidP="00F72F4C">
            <w:pPr>
              <w:jc w:val="center"/>
              <w:rPr>
                <w:b/>
                <w:sz w:val="22"/>
                <w:szCs w:val="22"/>
              </w:rPr>
            </w:pPr>
            <w:r w:rsidRPr="00E83DAA">
              <w:rPr>
                <w:b/>
                <w:sz w:val="22"/>
                <w:szCs w:val="22"/>
              </w:rPr>
              <w:t>Parametry Oferowane przez Wykonawcę</w:t>
            </w:r>
          </w:p>
          <w:p w14:paraId="4A6E6EB2" w14:textId="77777777" w:rsidR="00830227" w:rsidRPr="00E83DAA" w:rsidRDefault="00830227" w:rsidP="00F72F4C">
            <w:pPr>
              <w:jc w:val="center"/>
              <w:rPr>
                <w:b/>
                <w:sz w:val="22"/>
                <w:szCs w:val="22"/>
              </w:rPr>
            </w:pPr>
            <w:r w:rsidRPr="00E83DAA">
              <w:rPr>
                <w:b/>
                <w:sz w:val="22"/>
                <w:szCs w:val="22"/>
              </w:rPr>
              <w:t>(wpisać odpowiednio TAK/NIE,</w:t>
            </w:r>
          </w:p>
          <w:p w14:paraId="09998F17" w14:textId="77777777" w:rsidR="00830227" w:rsidRPr="00E83DAA" w:rsidRDefault="00830227" w:rsidP="00F72F4C">
            <w:pPr>
              <w:jc w:val="center"/>
              <w:rPr>
                <w:b/>
                <w:sz w:val="22"/>
                <w:szCs w:val="22"/>
              </w:rPr>
            </w:pPr>
            <w:r w:rsidRPr="00E83DAA">
              <w:rPr>
                <w:b/>
                <w:sz w:val="22"/>
                <w:szCs w:val="22"/>
              </w:rPr>
              <w:t>lub wartość parametru)</w:t>
            </w:r>
          </w:p>
        </w:tc>
      </w:tr>
      <w:tr w:rsidR="00830227" w:rsidRPr="00E83DAA" w14:paraId="7BA1C539" w14:textId="77777777" w:rsidTr="00830227">
        <w:trPr>
          <w:trHeight w:val="530"/>
        </w:trPr>
        <w:tc>
          <w:tcPr>
            <w:tcW w:w="921" w:type="dxa"/>
            <w:vAlign w:val="center"/>
          </w:tcPr>
          <w:p w14:paraId="6DB8200A" w14:textId="77777777" w:rsidR="00830227" w:rsidRPr="00E83DAA" w:rsidRDefault="00830227" w:rsidP="00F72F4C">
            <w:pPr>
              <w:tabs>
                <w:tab w:val="num" w:pos="360"/>
              </w:tabs>
              <w:jc w:val="center"/>
              <w:rPr>
                <w:b/>
                <w:sz w:val="22"/>
                <w:szCs w:val="22"/>
              </w:rPr>
            </w:pPr>
            <w:r w:rsidRPr="00E83DAA">
              <w:rPr>
                <w:b/>
                <w:sz w:val="22"/>
                <w:szCs w:val="22"/>
              </w:rPr>
              <w:t>1</w:t>
            </w:r>
          </w:p>
        </w:tc>
        <w:tc>
          <w:tcPr>
            <w:tcW w:w="4252" w:type="dxa"/>
          </w:tcPr>
          <w:p w14:paraId="4BB22468" w14:textId="77777777" w:rsidR="00830227" w:rsidRPr="0075510D" w:rsidRDefault="00830227" w:rsidP="00F72F4C">
            <w:pPr>
              <w:jc w:val="both"/>
            </w:pPr>
            <w:r w:rsidRPr="0075510D">
              <w:rPr>
                <w:lang w:bidi="pl-PL"/>
              </w:rPr>
              <w:t>Mata o wytrzymałości wzdłużnej i poprzecznej min. 400/400kN/m.</w:t>
            </w:r>
          </w:p>
        </w:tc>
        <w:tc>
          <w:tcPr>
            <w:tcW w:w="3970" w:type="dxa"/>
            <w:vAlign w:val="center"/>
          </w:tcPr>
          <w:p w14:paraId="0C2B7E87" w14:textId="77777777" w:rsidR="00830227" w:rsidRPr="00E83DAA" w:rsidRDefault="00830227" w:rsidP="00F72F4C">
            <w:pPr>
              <w:pStyle w:val="Tekstpodstawowy2"/>
              <w:rPr>
                <w:b/>
                <w:color w:val="FF0000"/>
                <w:sz w:val="22"/>
                <w:szCs w:val="22"/>
              </w:rPr>
            </w:pPr>
          </w:p>
        </w:tc>
      </w:tr>
      <w:tr w:rsidR="00830227" w:rsidRPr="00E83DAA" w14:paraId="1E7C3775" w14:textId="77777777" w:rsidTr="00830227">
        <w:tc>
          <w:tcPr>
            <w:tcW w:w="921" w:type="dxa"/>
            <w:vAlign w:val="center"/>
          </w:tcPr>
          <w:p w14:paraId="08182727" w14:textId="77777777" w:rsidR="00830227" w:rsidRPr="00E83DAA" w:rsidRDefault="00830227" w:rsidP="00F72F4C">
            <w:pPr>
              <w:tabs>
                <w:tab w:val="num" w:pos="360"/>
              </w:tabs>
              <w:jc w:val="center"/>
              <w:rPr>
                <w:b/>
                <w:sz w:val="22"/>
                <w:szCs w:val="22"/>
              </w:rPr>
            </w:pPr>
            <w:r w:rsidRPr="00E83DAA">
              <w:rPr>
                <w:b/>
                <w:sz w:val="22"/>
                <w:szCs w:val="22"/>
              </w:rPr>
              <w:t>2</w:t>
            </w:r>
          </w:p>
        </w:tc>
        <w:tc>
          <w:tcPr>
            <w:tcW w:w="4252" w:type="dxa"/>
          </w:tcPr>
          <w:p w14:paraId="21A2B7FF" w14:textId="77777777" w:rsidR="00830227" w:rsidRPr="00E83DAA" w:rsidRDefault="00830227" w:rsidP="00F72F4C">
            <w:pPr>
              <w:jc w:val="both"/>
              <w:rPr>
                <w:sz w:val="22"/>
                <w:szCs w:val="22"/>
                <w:lang w:bidi="pl-PL"/>
              </w:rPr>
            </w:pPr>
            <w:r>
              <w:t>Mata musi być elastyczna i posiadać wysoką odporność na rozrywanie i ścinanie (może być zaczepiana podczas przesuwania sekcji i nie może prowadzić do uszkodzenia na większych odcinkach, a także być ścinana na krawędziach stropnicy obudowy zmechanizowanej</w:t>
            </w:r>
            <w:r w:rsidRPr="00E83DAA">
              <w:rPr>
                <w:sz w:val="22"/>
                <w:szCs w:val="22"/>
                <w:lang w:bidi="pl-PL"/>
              </w:rPr>
              <w:t>.</w:t>
            </w:r>
          </w:p>
        </w:tc>
        <w:tc>
          <w:tcPr>
            <w:tcW w:w="3970" w:type="dxa"/>
            <w:vAlign w:val="center"/>
          </w:tcPr>
          <w:p w14:paraId="7A796748" w14:textId="77777777" w:rsidR="00830227" w:rsidRPr="00E83DAA" w:rsidRDefault="00830227" w:rsidP="00F72F4C">
            <w:pPr>
              <w:pStyle w:val="Tekstpodstawowy2"/>
              <w:rPr>
                <w:b/>
                <w:color w:val="FF0000"/>
                <w:sz w:val="22"/>
                <w:szCs w:val="22"/>
              </w:rPr>
            </w:pPr>
          </w:p>
        </w:tc>
      </w:tr>
      <w:tr w:rsidR="00830227" w:rsidRPr="00E83DAA" w14:paraId="3397C158" w14:textId="77777777" w:rsidTr="00830227">
        <w:tc>
          <w:tcPr>
            <w:tcW w:w="921" w:type="dxa"/>
            <w:vAlign w:val="center"/>
          </w:tcPr>
          <w:p w14:paraId="1E68588D" w14:textId="77777777" w:rsidR="00830227" w:rsidRPr="00E83DAA" w:rsidRDefault="00830227" w:rsidP="00F72F4C">
            <w:pPr>
              <w:tabs>
                <w:tab w:val="num" w:pos="360"/>
              </w:tabs>
              <w:jc w:val="center"/>
              <w:rPr>
                <w:b/>
                <w:sz w:val="22"/>
                <w:szCs w:val="22"/>
              </w:rPr>
            </w:pPr>
            <w:r w:rsidRPr="00E83DAA">
              <w:rPr>
                <w:b/>
                <w:sz w:val="22"/>
                <w:szCs w:val="22"/>
              </w:rPr>
              <w:t>3</w:t>
            </w:r>
          </w:p>
        </w:tc>
        <w:tc>
          <w:tcPr>
            <w:tcW w:w="4252" w:type="dxa"/>
          </w:tcPr>
          <w:p w14:paraId="2419D2EB" w14:textId="77777777" w:rsidR="00830227" w:rsidRPr="00E83DAA" w:rsidRDefault="00830227" w:rsidP="00F72F4C">
            <w:pPr>
              <w:jc w:val="both"/>
              <w:rPr>
                <w:sz w:val="22"/>
                <w:szCs w:val="22"/>
                <w:lang w:bidi="pl-PL"/>
              </w:rPr>
            </w:pPr>
            <w:r>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tc>
        <w:tc>
          <w:tcPr>
            <w:tcW w:w="3970" w:type="dxa"/>
            <w:vAlign w:val="center"/>
          </w:tcPr>
          <w:p w14:paraId="0DBD55F8" w14:textId="77777777" w:rsidR="00830227" w:rsidRPr="00E83DAA" w:rsidRDefault="00830227" w:rsidP="00F72F4C">
            <w:pPr>
              <w:pStyle w:val="Tekstpodstawowy2"/>
              <w:rPr>
                <w:b/>
                <w:color w:val="FF0000"/>
                <w:sz w:val="22"/>
                <w:szCs w:val="22"/>
              </w:rPr>
            </w:pPr>
          </w:p>
        </w:tc>
      </w:tr>
      <w:tr w:rsidR="00830227" w:rsidRPr="00E83DAA" w14:paraId="0D62C28D" w14:textId="77777777" w:rsidTr="00830227">
        <w:tc>
          <w:tcPr>
            <w:tcW w:w="921" w:type="dxa"/>
            <w:vAlign w:val="center"/>
          </w:tcPr>
          <w:p w14:paraId="5FE113ED" w14:textId="77777777" w:rsidR="00830227" w:rsidRPr="00E83DAA" w:rsidRDefault="00830227" w:rsidP="00F72F4C">
            <w:pPr>
              <w:tabs>
                <w:tab w:val="num" w:pos="360"/>
              </w:tabs>
              <w:jc w:val="center"/>
              <w:rPr>
                <w:b/>
                <w:sz w:val="22"/>
                <w:szCs w:val="22"/>
              </w:rPr>
            </w:pPr>
            <w:r w:rsidRPr="00E83DAA">
              <w:rPr>
                <w:b/>
                <w:sz w:val="22"/>
                <w:szCs w:val="22"/>
              </w:rPr>
              <w:t>4</w:t>
            </w:r>
          </w:p>
        </w:tc>
        <w:tc>
          <w:tcPr>
            <w:tcW w:w="4252" w:type="dxa"/>
          </w:tcPr>
          <w:p w14:paraId="58C64576" w14:textId="77777777" w:rsidR="00830227" w:rsidRPr="00162BC3" w:rsidRDefault="00830227" w:rsidP="00F72F4C">
            <w:pPr>
              <w:pStyle w:val="Akapitzlist"/>
              <w:widowControl w:val="0"/>
              <w:ind w:left="0"/>
              <w:jc w:val="both"/>
              <w:rPr>
                <w:sz w:val="20"/>
                <w:szCs w:val="20"/>
                <w:lang w:bidi="pl-PL"/>
              </w:rPr>
            </w:pPr>
            <w:r w:rsidRPr="00162BC3">
              <w:rPr>
                <w:sz w:val="20"/>
                <w:szCs w:val="20"/>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0 6mm, rozmieszczenie zgodnie z podziałką ścianowej obudowy zmechanizowanej</w:t>
            </w:r>
          </w:p>
        </w:tc>
        <w:tc>
          <w:tcPr>
            <w:tcW w:w="3970" w:type="dxa"/>
            <w:vAlign w:val="center"/>
          </w:tcPr>
          <w:p w14:paraId="49639BF4" w14:textId="77777777" w:rsidR="00830227" w:rsidRPr="00E83DAA" w:rsidRDefault="00830227" w:rsidP="00F72F4C">
            <w:pPr>
              <w:pStyle w:val="Tekstpodstawowy2"/>
              <w:rPr>
                <w:b/>
                <w:color w:val="FF0000"/>
                <w:sz w:val="22"/>
                <w:szCs w:val="22"/>
              </w:rPr>
            </w:pPr>
          </w:p>
        </w:tc>
      </w:tr>
      <w:tr w:rsidR="00830227" w:rsidRPr="00E83DAA" w14:paraId="5D7404C3" w14:textId="77777777" w:rsidTr="00830227">
        <w:trPr>
          <w:trHeight w:val="761"/>
        </w:trPr>
        <w:tc>
          <w:tcPr>
            <w:tcW w:w="921" w:type="dxa"/>
            <w:vAlign w:val="center"/>
          </w:tcPr>
          <w:p w14:paraId="20CE45B6" w14:textId="77777777" w:rsidR="00830227" w:rsidRPr="00E83DAA" w:rsidRDefault="00830227" w:rsidP="00F72F4C">
            <w:pPr>
              <w:tabs>
                <w:tab w:val="num" w:pos="360"/>
              </w:tabs>
              <w:jc w:val="center"/>
              <w:rPr>
                <w:b/>
                <w:sz w:val="22"/>
                <w:szCs w:val="22"/>
              </w:rPr>
            </w:pPr>
            <w:r w:rsidRPr="00E83DAA">
              <w:rPr>
                <w:b/>
                <w:sz w:val="22"/>
                <w:szCs w:val="22"/>
              </w:rPr>
              <w:t>5</w:t>
            </w:r>
          </w:p>
        </w:tc>
        <w:tc>
          <w:tcPr>
            <w:tcW w:w="4252" w:type="dxa"/>
          </w:tcPr>
          <w:p w14:paraId="24550A38" w14:textId="77777777" w:rsidR="00830227" w:rsidRPr="00E83DAA" w:rsidRDefault="00830227" w:rsidP="00F72F4C">
            <w:pPr>
              <w:widowControl w:val="0"/>
              <w:ind w:hanging="143"/>
              <w:jc w:val="both"/>
              <w:rPr>
                <w:sz w:val="22"/>
                <w:szCs w:val="22"/>
                <w:lang w:bidi="pl-PL"/>
              </w:rPr>
            </w:pPr>
            <w:r w:rsidRPr="00162BC3">
              <w:rPr>
                <w:bCs/>
                <w:sz w:val="22"/>
                <w:szCs w:val="22"/>
                <w:lang w:bidi="pl-PL"/>
              </w:rPr>
              <w:t>•</w:t>
            </w:r>
            <w:r w:rsidRPr="00162BC3">
              <w:rPr>
                <w:bCs/>
                <w:sz w:val="22"/>
                <w:szCs w:val="22"/>
                <w:lang w:bidi="pl-PL"/>
              </w:rPr>
              <w:tab/>
            </w:r>
            <w:r w:rsidRPr="00162BC3">
              <w:rPr>
                <w:bCs/>
                <w:lang w:bidi="pl-PL"/>
              </w:rPr>
              <w:t>Maksymalna waga jednego fragmentu (odcinka) siatki, nie może przekraczać 9,2 tony wraz z kontenerem</w:t>
            </w:r>
            <w:r w:rsidRPr="00162BC3">
              <w:rPr>
                <w:lang w:bidi="pl-PL"/>
              </w:rPr>
              <w:t>.</w:t>
            </w:r>
          </w:p>
        </w:tc>
        <w:tc>
          <w:tcPr>
            <w:tcW w:w="3970" w:type="dxa"/>
            <w:vAlign w:val="center"/>
          </w:tcPr>
          <w:p w14:paraId="6D75DB89" w14:textId="77777777" w:rsidR="00830227" w:rsidRPr="00E83DAA" w:rsidRDefault="00830227" w:rsidP="00F72F4C">
            <w:pPr>
              <w:pStyle w:val="Tekstpodstawowy2"/>
              <w:rPr>
                <w:b/>
                <w:color w:val="FF0000"/>
                <w:sz w:val="22"/>
                <w:szCs w:val="22"/>
              </w:rPr>
            </w:pPr>
          </w:p>
        </w:tc>
      </w:tr>
      <w:tr w:rsidR="00830227" w:rsidRPr="00E83DAA" w14:paraId="0A4CD052" w14:textId="77777777" w:rsidTr="00830227">
        <w:tc>
          <w:tcPr>
            <w:tcW w:w="921" w:type="dxa"/>
            <w:vAlign w:val="center"/>
          </w:tcPr>
          <w:p w14:paraId="46E79F8E" w14:textId="77777777" w:rsidR="00830227" w:rsidRPr="00E83DAA" w:rsidRDefault="00830227" w:rsidP="00F72F4C">
            <w:pPr>
              <w:tabs>
                <w:tab w:val="num" w:pos="360"/>
              </w:tabs>
              <w:jc w:val="center"/>
              <w:rPr>
                <w:b/>
                <w:sz w:val="22"/>
                <w:szCs w:val="22"/>
              </w:rPr>
            </w:pPr>
            <w:r w:rsidRPr="00E83DAA">
              <w:rPr>
                <w:b/>
                <w:sz w:val="22"/>
                <w:szCs w:val="22"/>
              </w:rPr>
              <w:t>6</w:t>
            </w:r>
          </w:p>
        </w:tc>
        <w:tc>
          <w:tcPr>
            <w:tcW w:w="4252" w:type="dxa"/>
          </w:tcPr>
          <w:p w14:paraId="3EE0E7F2" w14:textId="77777777" w:rsidR="00830227" w:rsidRPr="00162BC3" w:rsidRDefault="00830227" w:rsidP="00F72F4C">
            <w:pPr>
              <w:pStyle w:val="Akapitzlist"/>
              <w:widowControl w:val="0"/>
              <w:spacing w:after="100" w:afterAutospacing="1"/>
              <w:ind w:left="0"/>
              <w:jc w:val="both"/>
              <w:rPr>
                <w:sz w:val="20"/>
                <w:szCs w:val="20"/>
                <w:lang w:bidi="pl-PL"/>
              </w:rPr>
            </w:pPr>
            <w:r w:rsidRPr="00162BC3">
              <w:rPr>
                <w:sz w:val="20"/>
                <w:szCs w:val="20"/>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wysokośćl,3m Na każdym kontenerze powinno być naniesione trwałe oznaczenie kierunku jego transportu do likwidowanej ściany</w:t>
            </w:r>
          </w:p>
        </w:tc>
        <w:tc>
          <w:tcPr>
            <w:tcW w:w="3970" w:type="dxa"/>
            <w:vAlign w:val="center"/>
          </w:tcPr>
          <w:p w14:paraId="552F1531" w14:textId="77777777" w:rsidR="00830227" w:rsidRPr="00E83DAA" w:rsidRDefault="00830227" w:rsidP="00F72F4C">
            <w:pPr>
              <w:pStyle w:val="Tekstpodstawowy2"/>
              <w:rPr>
                <w:b/>
                <w:color w:val="FF0000"/>
                <w:sz w:val="22"/>
                <w:szCs w:val="22"/>
              </w:rPr>
            </w:pPr>
          </w:p>
        </w:tc>
      </w:tr>
      <w:tr w:rsidR="00830227" w:rsidRPr="00E83DAA" w14:paraId="2AD22E27" w14:textId="77777777" w:rsidTr="00830227">
        <w:tc>
          <w:tcPr>
            <w:tcW w:w="921" w:type="dxa"/>
            <w:vAlign w:val="center"/>
          </w:tcPr>
          <w:p w14:paraId="3FE09342" w14:textId="77777777" w:rsidR="00830227" w:rsidRPr="00E83DAA" w:rsidRDefault="00830227" w:rsidP="00F72F4C">
            <w:pPr>
              <w:tabs>
                <w:tab w:val="num" w:pos="360"/>
              </w:tabs>
              <w:jc w:val="center"/>
              <w:rPr>
                <w:b/>
                <w:sz w:val="22"/>
                <w:szCs w:val="22"/>
              </w:rPr>
            </w:pPr>
            <w:r w:rsidRPr="00E83DAA">
              <w:rPr>
                <w:b/>
                <w:sz w:val="22"/>
                <w:szCs w:val="22"/>
              </w:rPr>
              <w:t>7</w:t>
            </w:r>
          </w:p>
        </w:tc>
        <w:tc>
          <w:tcPr>
            <w:tcW w:w="4252" w:type="dxa"/>
          </w:tcPr>
          <w:p w14:paraId="257E3108" w14:textId="023A1C14" w:rsidR="00830227" w:rsidRPr="00E83DAA" w:rsidRDefault="00830227" w:rsidP="00F72F4C">
            <w:pPr>
              <w:autoSpaceDE w:val="0"/>
              <w:autoSpaceDN w:val="0"/>
              <w:adjustRightInd w:val="0"/>
              <w:rPr>
                <w:rFonts w:ascii="OpenSans-Regular" w:eastAsiaTheme="minorHAnsi" w:hAnsi="OpenSans-Regular" w:cs="OpenSans-Regular"/>
                <w:sz w:val="22"/>
                <w:szCs w:val="22"/>
                <w:lang w:eastAsia="en-US"/>
              </w:rPr>
            </w:pPr>
            <w:r w:rsidRPr="00162BC3">
              <w:rPr>
                <w:sz w:val="22"/>
                <w:szCs w:val="22"/>
                <w:lang w:bidi="pl-PL"/>
              </w:rPr>
              <w:t>Wydłużenie maty: nie większe niż 13 %</w:t>
            </w:r>
            <w:r>
              <w:rPr>
                <w:sz w:val="22"/>
                <w:szCs w:val="22"/>
                <w:lang w:bidi="pl-PL"/>
              </w:rPr>
              <w:t xml:space="preserve">. </w:t>
            </w:r>
            <w:r>
              <w:t>Odporność chemiczna: mata odporna na kwasy, zasady i inne związki chemiczne</w:t>
            </w:r>
          </w:p>
        </w:tc>
        <w:tc>
          <w:tcPr>
            <w:tcW w:w="3970" w:type="dxa"/>
            <w:vAlign w:val="center"/>
          </w:tcPr>
          <w:p w14:paraId="752BC284" w14:textId="77777777" w:rsidR="00830227" w:rsidRPr="00E83DAA" w:rsidRDefault="00830227" w:rsidP="00F72F4C">
            <w:pPr>
              <w:pStyle w:val="Tekstpodstawowy2"/>
              <w:rPr>
                <w:b/>
                <w:color w:val="FF0000"/>
                <w:sz w:val="22"/>
                <w:szCs w:val="22"/>
              </w:rPr>
            </w:pPr>
          </w:p>
        </w:tc>
      </w:tr>
      <w:tr w:rsidR="00830227" w:rsidRPr="00E83DAA" w14:paraId="5DD9C9D5" w14:textId="77777777" w:rsidTr="00830227">
        <w:trPr>
          <w:trHeight w:val="711"/>
        </w:trPr>
        <w:tc>
          <w:tcPr>
            <w:tcW w:w="921" w:type="dxa"/>
            <w:vAlign w:val="center"/>
          </w:tcPr>
          <w:p w14:paraId="5C414CBB" w14:textId="77777777" w:rsidR="00830227" w:rsidRPr="00E83DAA" w:rsidRDefault="00830227" w:rsidP="00F72F4C">
            <w:pPr>
              <w:tabs>
                <w:tab w:val="num" w:pos="360"/>
              </w:tabs>
              <w:jc w:val="center"/>
              <w:rPr>
                <w:b/>
                <w:sz w:val="22"/>
                <w:szCs w:val="22"/>
              </w:rPr>
            </w:pPr>
            <w:r w:rsidRPr="00E83DAA">
              <w:rPr>
                <w:b/>
                <w:sz w:val="22"/>
                <w:szCs w:val="22"/>
              </w:rPr>
              <w:t>8</w:t>
            </w:r>
          </w:p>
        </w:tc>
        <w:tc>
          <w:tcPr>
            <w:tcW w:w="4252" w:type="dxa"/>
          </w:tcPr>
          <w:p w14:paraId="50299579" w14:textId="42E910E6" w:rsidR="00830227" w:rsidRPr="00E83DAA" w:rsidRDefault="00830227" w:rsidP="00F72F4C">
            <w:pPr>
              <w:widowControl w:val="0"/>
              <w:tabs>
                <w:tab w:val="left" w:pos="426"/>
              </w:tabs>
              <w:spacing w:after="100" w:afterAutospacing="1"/>
              <w:jc w:val="both"/>
              <w:rPr>
                <w:sz w:val="22"/>
                <w:szCs w:val="22"/>
                <w:lang w:bidi="pl-PL"/>
              </w:rPr>
            </w:pPr>
            <w:r>
              <w:t xml:space="preserve">Elastyczność maty musi pozwolić na jej zwijanie </w:t>
            </w:r>
            <w:r w:rsidR="00DE4A41">
              <w:br/>
            </w:r>
            <w:r>
              <w:t>i załamywanie rulonów, tak aby dała się zapakować do kontenerów umożliwiających ich transport szybem, a później kolejką podwieszaną w wyrobiskach korytarzowych pod ziemią</w:t>
            </w:r>
            <w:r w:rsidRPr="00E83DAA">
              <w:rPr>
                <w:sz w:val="22"/>
                <w:szCs w:val="22"/>
                <w:lang w:bidi="pl-PL"/>
              </w:rPr>
              <w:t>.</w:t>
            </w:r>
          </w:p>
        </w:tc>
        <w:tc>
          <w:tcPr>
            <w:tcW w:w="3970" w:type="dxa"/>
            <w:vAlign w:val="center"/>
          </w:tcPr>
          <w:p w14:paraId="6658203E" w14:textId="77777777" w:rsidR="00830227" w:rsidRPr="00E83DAA" w:rsidRDefault="00830227" w:rsidP="00F72F4C">
            <w:pPr>
              <w:pStyle w:val="Tekstpodstawowy2"/>
              <w:rPr>
                <w:b/>
                <w:color w:val="FF0000"/>
                <w:sz w:val="22"/>
                <w:szCs w:val="22"/>
              </w:rPr>
            </w:pPr>
          </w:p>
        </w:tc>
      </w:tr>
      <w:tr w:rsidR="00830227" w:rsidRPr="00E83DAA" w14:paraId="331C7390" w14:textId="77777777" w:rsidTr="00830227">
        <w:trPr>
          <w:trHeight w:val="47"/>
        </w:trPr>
        <w:tc>
          <w:tcPr>
            <w:tcW w:w="921" w:type="dxa"/>
            <w:vAlign w:val="center"/>
          </w:tcPr>
          <w:p w14:paraId="0720CC05" w14:textId="77777777" w:rsidR="00830227" w:rsidRPr="00E83DAA" w:rsidRDefault="00830227" w:rsidP="00F72F4C">
            <w:pPr>
              <w:tabs>
                <w:tab w:val="num" w:pos="360"/>
              </w:tabs>
              <w:jc w:val="center"/>
              <w:rPr>
                <w:b/>
                <w:sz w:val="22"/>
                <w:szCs w:val="22"/>
              </w:rPr>
            </w:pPr>
            <w:r w:rsidRPr="00E83DAA">
              <w:rPr>
                <w:b/>
                <w:sz w:val="22"/>
                <w:szCs w:val="22"/>
              </w:rPr>
              <w:t>9</w:t>
            </w:r>
          </w:p>
        </w:tc>
        <w:tc>
          <w:tcPr>
            <w:tcW w:w="4252" w:type="dxa"/>
          </w:tcPr>
          <w:p w14:paraId="103F94EA" w14:textId="77777777" w:rsidR="00830227" w:rsidRPr="0075510D" w:rsidRDefault="00830227" w:rsidP="00F72F4C">
            <w:pPr>
              <w:autoSpaceDE w:val="0"/>
              <w:autoSpaceDN w:val="0"/>
              <w:adjustRightInd w:val="0"/>
              <w:rPr>
                <w:lang w:bidi="pl-PL"/>
              </w:rPr>
            </w:pPr>
            <w:r w:rsidRPr="0075510D">
              <w:rPr>
                <w:lang w:bidi="pl-PL"/>
              </w:rPr>
              <w:t xml:space="preserve">Materiał z którego będzie wykonana powłoka zewnętrzna nie może być uciążliwym w stosowaniu dla osób mających z nim bezpośredni, </w:t>
            </w:r>
            <w:r w:rsidRPr="0075510D">
              <w:rPr>
                <w:lang w:bidi="pl-PL"/>
              </w:rPr>
              <w:lastRenderedPageBreak/>
              <w:t xml:space="preserve">albo pośredni kontakt, a w szczególności nie może: brudzić, wydzielać przykrego zapachu (odoru), </w:t>
            </w:r>
            <w:bookmarkStart w:id="1" w:name="_GoBack"/>
            <w:bookmarkEnd w:id="1"/>
            <w:r w:rsidRPr="0075510D">
              <w:rPr>
                <w:lang w:bidi="pl-PL"/>
              </w:rPr>
              <w:t>powierzchnia nie może ranić ciała, materiał nie może emitować do przestrzeni wyrobiska żadnych pyłów i innych uciążliwych drobin materiałowych.</w:t>
            </w:r>
          </w:p>
        </w:tc>
        <w:tc>
          <w:tcPr>
            <w:tcW w:w="3970" w:type="dxa"/>
            <w:vAlign w:val="center"/>
          </w:tcPr>
          <w:p w14:paraId="72409837" w14:textId="77777777" w:rsidR="00830227" w:rsidRPr="00E83DAA" w:rsidRDefault="00830227" w:rsidP="00F72F4C">
            <w:pPr>
              <w:pStyle w:val="Tekstpodstawowy2"/>
              <w:rPr>
                <w:b/>
                <w:color w:val="FF0000"/>
                <w:sz w:val="22"/>
                <w:szCs w:val="22"/>
              </w:rPr>
            </w:pPr>
          </w:p>
        </w:tc>
      </w:tr>
      <w:tr w:rsidR="003F6982" w:rsidRPr="00EF4878" w14:paraId="0CDCCB3D" w14:textId="77777777" w:rsidTr="003F6982">
        <w:tc>
          <w:tcPr>
            <w:tcW w:w="921" w:type="dxa"/>
            <w:vAlign w:val="center"/>
          </w:tcPr>
          <w:p w14:paraId="3B644684" w14:textId="77777777" w:rsidR="003F6982" w:rsidRPr="00EF4878" w:rsidRDefault="003F6982" w:rsidP="0024145F">
            <w:pPr>
              <w:tabs>
                <w:tab w:val="num" w:pos="360"/>
              </w:tabs>
              <w:jc w:val="center"/>
              <w:rPr>
                <w:rFonts w:ascii="Tahoma" w:hAnsi="Tahoma" w:cs="Tahoma"/>
                <w:b/>
              </w:rPr>
            </w:pPr>
            <w:r w:rsidRPr="00EF4878">
              <w:rPr>
                <w:rFonts w:ascii="Tahoma" w:hAnsi="Tahoma" w:cs="Tahoma"/>
                <w:b/>
              </w:rPr>
              <w:lastRenderedPageBreak/>
              <w:t>10</w:t>
            </w:r>
          </w:p>
        </w:tc>
        <w:tc>
          <w:tcPr>
            <w:tcW w:w="4252" w:type="dxa"/>
          </w:tcPr>
          <w:p w14:paraId="10F21CD5" w14:textId="77777777" w:rsidR="003F6982" w:rsidRPr="00141436" w:rsidRDefault="003F6982" w:rsidP="0024145F">
            <w:pPr>
              <w:jc w:val="both"/>
            </w:pPr>
            <w:r w:rsidRPr="00141436">
              <w:t>Mata spełnia wymagania bezpieczeństwa - współczynnik równoważnika nośności wynosi min. 24kN/m zgodnie z normą PN-G-15050:2018-01.</w:t>
            </w:r>
          </w:p>
        </w:tc>
        <w:tc>
          <w:tcPr>
            <w:tcW w:w="3970" w:type="dxa"/>
            <w:vAlign w:val="center"/>
          </w:tcPr>
          <w:p w14:paraId="3348D9EB" w14:textId="77777777" w:rsidR="003F6982" w:rsidRPr="00EF4878" w:rsidRDefault="003F6982" w:rsidP="0024145F">
            <w:pPr>
              <w:pStyle w:val="Tekstpodstawowy2"/>
              <w:spacing w:line="240" w:lineRule="auto"/>
              <w:rPr>
                <w:rFonts w:ascii="Tahoma" w:hAnsi="Tahoma" w:cs="Tahoma"/>
                <w:b/>
              </w:rPr>
            </w:pPr>
          </w:p>
        </w:tc>
      </w:tr>
    </w:tbl>
    <w:p w14:paraId="28B84799" w14:textId="77777777" w:rsidR="0069598A" w:rsidRDefault="0069598A" w:rsidP="0069598A">
      <w:pPr>
        <w:autoSpaceDE w:val="0"/>
        <w:autoSpaceDN w:val="0"/>
        <w:adjustRightInd w:val="0"/>
        <w:jc w:val="both"/>
        <w:rPr>
          <w:b/>
          <w:sz w:val="22"/>
          <w:szCs w:val="22"/>
        </w:rPr>
      </w:pPr>
    </w:p>
    <w:p w14:paraId="11BC4F2A" w14:textId="77777777" w:rsidR="003F6982" w:rsidRPr="005E1E61" w:rsidRDefault="003F6982" w:rsidP="0069598A">
      <w:pPr>
        <w:autoSpaceDE w:val="0"/>
        <w:autoSpaceDN w:val="0"/>
        <w:adjustRightInd w:val="0"/>
        <w:jc w:val="both"/>
        <w:rPr>
          <w:b/>
          <w:sz w:val="22"/>
          <w:szCs w:val="22"/>
        </w:rPr>
      </w:pPr>
    </w:p>
    <w:bookmarkEnd w:id="0"/>
    <w:p w14:paraId="43BE568C" w14:textId="3E7BE752" w:rsidR="0069598A" w:rsidRPr="00830227" w:rsidRDefault="0069598A" w:rsidP="00310AEE">
      <w:pPr>
        <w:numPr>
          <w:ilvl w:val="0"/>
          <w:numId w:val="37"/>
        </w:numPr>
        <w:ind w:left="426" w:hanging="426"/>
        <w:jc w:val="both"/>
        <w:rPr>
          <w:b/>
          <w:sz w:val="22"/>
          <w:szCs w:val="22"/>
        </w:rPr>
      </w:pPr>
      <w:r w:rsidRPr="00750E51">
        <w:rPr>
          <w:b/>
          <w:sz w:val="22"/>
          <w:szCs w:val="22"/>
        </w:rPr>
        <w:t>Oświadczenia</w:t>
      </w:r>
      <w:r>
        <w:rPr>
          <w:b/>
          <w:sz w:val="22"/>
          <w:szCs w:val="22"/>
        </w:rPr>
        <w:t xml:space="preserve">. </w:t>
      </w:r>
    </w:p>
    <w:p w14:paraId="59DF4576" w14:textId="3E3B5F0D" w:rsidR="0069598A" w:rsidRPr="00830227" w:rsidRDefault="0069598A" w:rsidP="00310AEE">
      <w:pPr>
        <w:numPr>
          <w:ilvl w:val="6"/>
          <w:numId w:val="33"/>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5"/>
        <w:gridCol w:w="3509"/>
        <w:gridCol w:w="3656"/>
      </w:tblGrid>
      <w:tr w:rsidR="00830227" w:rsidRPr="00830227" w14:paraId="0A4C5998" w14:textId="77777777" w:rsidTr="00830227">
        <w:trPr>
          <w:trHeight w:val="413"/>
          <w:tblHeader/>
        </w:trPr>
        <w:tc>
          <w:tcPr>
            <w:tcW w:w="1535" w:type="dxa"/>
            <w:vAlign w:val="center"/>
          </w:tcPr>
          <w:p w14:paraId="657895CF" w14:textId="77777777" w:rsidR="0069598A" w:rsidRPr="00830227" w:rsidRDefault="0069598A" w:rsidP="00E2168F">
            <w:pPr>
              <w:jc w:val="center"/>
              <w:rPr>
                <w:b/>
                <w:sz w:val="18"/>
                <w:szCs w:val="18"/>
              </w:rPr>
            </w:pPr>
            <w:r w:rsidRPr="00830227">
              <w:rPr>
                <w:b/>
                <w:sz w:val="18"/>
                <w:szCs w:val="18"/>
              </w:rPr>
              <w:t>Zadanie/pozycja</w:t>
            </w:r>
          </w:p>
        </w:tc>
        <w:tc>
          <w:tcPr>
            <w:tcW w:w="3509" w:type="dxa"/>
            <w:vAlign w:val="center"/>
          </w:tcPr>
          <w:p w14:paraId="5E180D26" w14:textId="77777777" w:rsidR="0069598A" w:rsidRPr="00830227" w:rsidRDefault="0069598A" w:rsidP="00E2168F">
            <w:pPr>
              <w:jc w:val="center"/>
              <w:rPr>
                <w:b/>
                <w:sz w:val="18"/>
                <w:szCs w:val="18"/>
              </w:rPr>
            </w:pPr>
            <w:r w:rsidRPr="00830227">
              <w:rPr>
                <w:b/>
                <w:sz w:val="18"/>
                <w:szCs w:val="18"/>
              </w:rPr>
              <w:t>Nazwa handlowa (jeżeli dotyczy)</w:t>
            </w:r>
          </w:p>
        </w:tc>
        <w:tc>
          <w:tcPr>
            <w:tcW w:w="3656" w:type="dxa"/>
            <w:vAlign w:val="center"/>
          </w:tcPr>
          <w:p w14:paraId="5BBD5AAC" w14:textId="77777777" w:rsidR="0069598A" w:rsidRPr="00830227" w:rsidRDefault="0069598A" w:rsidP="00E2168F">
            <w:pPr>
              <w:jc w:val="center"/>
              <w:rPr>
                <w:b/>
                <w:sz w:val="18"/>
                <w:szCs w:val="18"/>
              </w:rPr>
            </w:pPr>
            <w:r w:rsidRPr="00830227">
              <w:rPr>
                <w:b/>
                <w:sz w:val="18"/>
                <w:szCs w:val="18"/>
              </w:rPr>
              <w:t>Producent (nazwa i adres)</w:t>
            </w:r>
          </w:p>
        </w:tc>
      </w:tr>
      <w:tr w:rsidR="00830227" w:rsidRPr="00830227" w14:paraId="7C948440" w14:textId="77777777" w:rsidTr="00830227">
        <w:trPr>
          <w:trHeight w:val="652"/>
        </w:trPr>
        <w:tc>
          <w:tcPr>
            <w:tcW w:w="1535" w:type="dxa"/>
            <w:vAlign w:val="center"/>
          </w:tcPr>
          <w:p w14:paraId="2E15DF48" w14:textId="77777777" w:rsidR="0069598A" w:rsidRPr="00830227" w:rsidRDefault="0069598A" w:rsidP="00E2168F">
            <w:pPr>
              <w:tabs>
                <w:tab w:val="num" w:pos="360"/>
              </w:tabs>
              <w:jc w:val="center"/>
              <w:rPr>
                <w:b/>
              </w:rPr>
            </w:pPr>
          </w:p>
        </w:tc>
        <w:tc>
          <w:tcPr>
            <w:tcW w:w="3509" w:type="dxa"/>
          </w:tcPr>
          <w:p w14:paraId="18239670" w14:textId="77777777" w:rsidR="0069598A" w:rsidRPr="00830227" w:rsidRDefault="0069598A" w:rsidP="00E2168F">
            <w:pPr>
              <w:jc w:val="center"/>
              <w:rPr>
                <w:b/>
              </w:rPr>
            </w:pPr>
          </w:p>
        </w:tc>
        <w:tc>
          <w:tcPr>
            <w:tcW w:w="3656" w:type="dxa"/>
          </w:tcPr>
          <w:p w14:paraId="284F12E4" w14:textId="77777777" w:rsidR="0069598A" w:rsidRPr="00830227" w:rsidRDefault="0069598A" w:rsidP="00E2168F">
            <w:pPr>
              <w:jc w:val="center"/>
              <w:rPr>
                <w:b/>
              </w:rPr>
            </w:pPr>
          </w:p>
        </w:tc>
      </w:tr>
    </w:tbl>
    <w:p w14:paraId="62A99985" w14:textId="77777777" w:rsidR="0069598A" w:rsidRPr="00830227" w:rsidRDefault="0069598A" w:rsidP="0069598A">
      <w:pPr>
        <w:ind w:left="709"/>
        <w:jc w:val="both"/>
        <w:rPr>
          <w:sz w:val="4"/>
          <w:szCs w:val="4"/>
        </w:rPr>
      </w:pPr>
    </w:p>
    <w:p w14:paraId="20DD1DF3" w14:textId="77777777" w:rsidR="003F6982" w:rsidRPr="003F6982" w:rsidRDefault="003F6982" w:rsidP="003F6982">
      <w:pPr>
        <w:ind w:left="709"/>
        <w:jc w:val="both"/>
        <w:rPr>
          <w:sz w:val="22"/>
          <w:szCs w:val="22"/>
        </w:rPr>
      </w:pPr>
    </w:p>
    <w:p w14:paraId="1F7368D9" w14:textId="77777777" w:rsidR="0069598A" w:rsidRDefault="0069598A" w:rsidP="00310AEE">
      <w:pPr>
        <w:numPr>
          <w:ilvl w:val="6"/>
          <w:numId w:val="3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w:t>
      </w:r>
      <w:r w:rsidRPr="00A7014D">
        <w:rPr>
          <w:sz w:val="22"/>
          <w:szCs w:val="22"/>
        </w:rPr>
        <w:t>zostały naruszone.</w:t>
      </w:r>
    </w:p>
    <w:p w14:paraId="5DD2A6AD" w14:textId="77777777" w:rsidR="003F6982" w:rsidRPr="00A7014D" w:rsidRDefault="003F6982" w:rsidP="003F6982">
      <w:pPr>
        <w:ind w:left="709"/>
        <w:jc w:val="both"/>
        <w:rPr>
          <w:sz w:val="22"/>
          <w:szCs w:val="22"/>
        </w:rPr>
      </w:pPr>
    </w:p>
    <w:p w14:paraId="296B2B5F" w14:textId="212E6C50" w:rsidR="0069598A" w:rsidRPr="003F6982" w:rsidRDefault="0069598A" w:rsidP="003F6982">
      <w:pPr>
        <w:numPr>
          <w:ilvl w:val="6"/>
          <w:numId w:val="33"/>
        </w:numPr>
        <w:ind w:left="709" w:hanging="425"/>
        <w:jc w:val="both"/>
        <w:rPr>
          <w:sz w:val="22"/>
          <w:szCs w:val="22"/>
        </w:rPr>
      </w:pPr>
      <w:r w:rsidRPr="00A7014D">
        <w:rPr>
          <w:b/>
          <w:bCs/>
          <w:sz w:val="22"/>
        </w:rPr>
        <w:t>Oświadczam</w:t>
      </w:r>
      <w:r w:rsidRPr="00A7014D">
        <w:rPr>
          <w:bCs/>
          <w:sz w:val="22"/>
        </w:rPr>
        <w:t xml:space="preserve">, </w:t>
      </w:r>
      <w:r w:rsidRPr="00A7014D">
        <w:rPr>
          <w:sz w:val="22"/>
        </w:rPr>
        <w:t xml:space="preserve">że oferowany towar spełnia wymagania prawa polskiego i Unii Europejskiej </w:t>
      </w:r>
      <w:r w:rsidR="00A7014D">
        <w:rPr>
          <w:sz w:val="22"/>
        </w:rPr>
        <w:br/>
      </w:r>
      <w:r w:rsidRPr="00A7014D">
        <w:rPr>
          <w:sz w:val="22"/>
        </w:rPr>
        <w:t>w zakresie wprowadzenia na rynek i do użytku w podziemnych wyrobiskach zakładów górniczych w warunkach istniejących zagrożeń</w:t>
      </w:r>
      <w:r w:rsidR="00A7014D" w:rsidRPr="003F6982">
        <w:rPr>
          <w:i/>
          <w:sz w:val="22"/>
        </w:rPr>
        <w:t>.</w:t>
      </w:r>
    </w:p>
    <w:p w14:paraId="0CFDF409" w14:textId="77777777" w:rsidR="003F6982" w:rsidRPr="003F6982" w:rsidRDefault="003F6982" w:rsidP="003F6982">
      <w:pPr>
        <w:jc w:val="both"/>
        <w:rPr>
          <w:sz w:val="22"/>
          <w:szCs w:val="22"/>
        </w:rPr>
      </w:pPr>
    </w:p>
    <w:p w14:paraId="002DFE40" w14:textId="77777777" w:rsidR="00A7014D" w:rsidRP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spełnia wymagania przepisów prawnych:</w:t>
      </w:r>
    </w:p>
    <w:p w14:paraId="7F7FA088" w14:textId="0638AE80" w:rsidR="00A7014D" w:rsidRDefault="00A7014D" w:rsidP="00A7014D">
      <w:pPr>
        <w:ind w:left="709"/>
        <w:jc w:val="both"/>
        <w:rPr>
          <w:sz w:val="22"/>
          <w:szCs w:val="22"/>
        </w:rPr>
      </w:pPr>
      <w:r w:rsidRPr="00A7014D">
        <w:rPr>
          <w:sz w:val="22"/>
          <w:szCs w:val="22"/>
        </w:rPr>
        <w:t>Ustawy z dnia 9 czerwca 2011</w:t>
      </w:r>
      <w:r w:rsidR="00D77621">
        <w:rPr>
          <w:sz w:val="22"/>
          <w:szCs w:val="22"/>
        </w:rPr>
        <w:t xml:space="preserve"> </w:t>
      </w:r>
      <w:r w:rsidRPr="00A7014D">
        <w:rPr>
          <w:sz w:val="22"/>
          <w:szCs w:val="22"/>
        </w:rPr>
        <w:t>r.- „Prawo geologiczne i górnicze” (Dz.U. 2023, poz. 2029) oraz Rozporządzenia Ministra Energii z dnia 23 listopada 2016 r. — „w sprawie szczegółowych wymagań dotyczących prowadzenia ruchu podziemnych zakładów górniczych” (Dz.U. 2017, poz. 1118).</w:t>
      </w:r>
    </w:p>
    <w:p w14:paraId="414C844B" w14:textId="77777777" w:rsidR="003F6982" w:rsidRPr="00A7014D" w:rsidRDefault="003F6982" w:rsidP="003F6982">
      <w:pPr>
        <w:jc w:val="both"/>
        <w:rPr>
          <w:sz w:val="22"/>
          <w:szCs w:val="22"/>
        </w:rPr>
      </w:pPr>
    </w:p>
    <w:p w14:paraId="5E3E85F4" w14:textId="77777777" w:rsid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przystosowany jest do zastosowania w podziemnych wyrobiskach zakładów górniczych w pomieszczeniach „a”, „b” i „c” zagrożonych wybuchem metanu i w pomieszczeniach A i B zagrożonych wybuchem pyłu węglowego.</w:t>
      </w:r>
    </w:p>
    <w:p w14:paraId="2F7BFE93" w14:textId="77777777" w:rsidR="003F6982" w:rsidRPr="00A7014D" w:rsidRDefault="003F6982" w:rsidP="003F6982">
      <w:pPr>
        <w:ind w:left="709"/>
        <w:jc w:val="both"/>
        <w:rPr>
          <w:sz w:val="22"/>
          <w:szCs w:val="22"/>
        </w:rPr>
      </w:pPr>
    </w:p>
    <w:p w14:paraId="55B50D88" w14:textId="7541FE8D" w:rsidR="00A7014D" w:rsidRDefault="00A7014D" w:rsidP="00310AEE">
      <w:pPr>
        <w:numPr>
          <w:ilvl w:val="6"/>
          <w:numId w:val="33"/>
        </w:numPr>
        <w:ind w:left="709" w:hanging="425"/>
        <w:jc w:val="both"/>
        <w:rPr>
          <w:sz w:val="22"/>
          <w:szCs w:val="22"/>
        </w:rPr>
      </w:pPr>
      <w:r w:rsidRPr="00A7014D">
        <w:rPr>
          <w:b/>
          <w:sz w:val="22"/>
          <w:szCs w:val="22"/>
        </w:rPr>
        <w:t>Oświadczam</w:t>
      </w:r>
      <w:r w:rsidRPr="00A7014D">
        <w:rPr>
          <w:sz w:val="22"/>
          <w:szCs w:val="22"/>
        </w:rPr>
        <w:t>, że oferowany towar jest ocechowany zgodnie z dokumentacją techniczną producenta będącą podstawą wydania certyfikatu.</w:t>
      </w:r>
    </w:p>
    <w:p w14:paraId="42E21243" w14:textId="77777777" w:rsidR="003F6982" w:rsidRPr="00A7014D" w:rsidRDefault="003F6982" w:rsidP="003F6982">
      <w:pPr>
        <w:jc w:val="both"/>
        <w:rPr>
          <w:sz w:val="22"/>
          <w:szCs w:val="22"/>
        </w:rPr>
      </w:pPr>
    </w:p>
    <w:p w14:paraId="32134FA1" w14:textId="77777777" w:rsidR="0069598A" w:rsidRPr="00876668" w:rsidRDefault="0069598A" w:rsidP="00310AEE">
      <w:pPr>
        <w:numPr>
          <w:ilvl w:val="6"/>
          <w:numId w:val="3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D77621">
      <w:pPr>
        <w:spacing w:after="60"/>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309C512B" w14:textId="77777777" w:rsidR="003F6982" w:rsidRDefault="003F6982" w:rsidP="003F6982">
      <w:pPr>
        <w:spacing w:after="60"/>
        <w:jc w:val="both"/>
        <w:rPr>
          <w:i/>
          <w:sz w:val="22"/>
          <w:szCs w:val="22"/>
        </w:rPr>
      </w:pPr>
    </w:p>
    <w:p w14:paraId="77E2B71C" w14:textId="77777777" w:rsidR="003F6982" w:rsidRDefault="003F6982" w:rsidP="003F6982">
      <w:pPr>
        <w:spacing w:after="60"/>
        <w:jc w:val="both"/>
        <w:rPr>
          <w:i/>
          <w:sz w:val="22"/>
          <w:szCs w:val="22"/>
        </w:rPr>
      </w:pPr>
    </w:p>
    <w:p w14:paraId="4F979ADE" w14:textId="77777777" w:rsidR="003F6982" w:rsidRDefault="003F6982" w:rsidP="003F6982">
      <w:pPr>
        <w:spacing w:after="60"/>
        <w:jc w:val="both"/>
        <w:rPr>
          <w:i/>
          <w:sz w:val="22"/>
          <w:szCs w:val="22"/>
        </w:rPr>
      </w:pPr>
    </w:p>
    <w:p w14:paraId="40AA900A" w14:textId="77777777" w:rsidR="0069598A" w:rsidRPr="00876668" w:rsidRDefault="0069598A" w:rsidP="00310AEE">
      <w:pPr>
        <w:numPr>
          <w:ilvl w:val="6"/>
          <w:numId w:val="33"/>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310AEE">
      <w:pPr>
        <w:numPr>
          <w:ilvl w:val="0"/>
          <w:numId w:val="38"/>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478B05C5" w:rsidR="0069598A" w:rsidRPr="00750E51" w:rsidRDefault="0069598A" w:rsidP="00D77621">
      <w:pPr>
        <w:ind w:left="709"/>
        <w:jc w:val="both"/>
        <w:rPr>
          <w:sz w:val="22"/>
          <w:szCs w:val="22"/>
        </w:rPr>
      </w:pPr>
      <w:r w:rsidRPr="00750E51">
        <w:rPr>
          <w:sz w:val="22"/>
          <w:szCs w:val="22"/>
        </w:rPr>
        <w:t>Faktyczne okoliczności potwierdzające zasadność objęcia informacji tajemnicą przedsiębiorstwa:</w:t>
      </w: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061D0D7F" w14:textId="77777777" w:rsidR="003F6982" w:rsidRDefault="003F6982" w:rsidP="003F6982">
      <w:pPr>
        <w:rPr>
          <w:sz w:val="22"/>
          <w:szCs w:val="22"/>
        </w:rPr>
      </w:pPr>
    </w:p>
    <w:p w14:paraId="3410C9A0" w14:textId="77777777" w:rsidR="0069598A" w:rsidRPr="00107755" w:rsidRDefault="0069598A" w:rsidP="00310AEE">
      <w:pPr>
        <w:numPr>
          <w:ilvl w:val="6"/>
          <w:numId w:val="33"/>
        </w:numPr>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3B6922EB"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mikroprzedsiębio</w:t>
      </w:r>
      <w:r w:rsidR="00D77621">
        <w:rPr>
          <w:sz w:val="22"/>
          <w:szCs w:val="22"/>
        </w:rPr>
        <w:t>r</w:t>
      </w:r>
      <w:r w:rsidRPr="00107755">
        <w:rPr>
          <w:sz w:val="22"/>
          <w:szCs w:val="22"/>
        </w:rPr>
        <w:t>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403DE236"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przedsi</w:t>
      </w:r>
      <w:r w:rsidR="00D77621">
        <w:rPr>
          <w:sz w:val="22"/>
          <w:szCs w:val="22"/>
        </w:rPr>
        <w:t>ę</w:t>
      </w:r>
      <w:r w:rsidRPr="00107755">
        <w:rPr>
          <w:sz w:val="22"/>
          <w:szCs w:val="22"/>
        </w:rPr>
        <w:t>biorstwo</w:t>
      </w:r>
    </w:p>
    <w:p w14:paraId="1DF944F6" w14:textId="3C5F2F0B"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przedsi</w:t>
      </w:r>
      <w:r w:rsidR="00DE4A41">
        <w:rPr>
          <w:sz w:val="22"/>
          <w:szCs w:val="22"/>
        </w:rPr>
        <w:t>ę</w:t>
      </w:r>
      <w:r w:rsidRPr="00107755">
        <w:rPr>
          <w:sz w:val="22"/>
          <w:szCs w:val="22"/>
        </w:rPr>
        <w:t>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4FB7E415" w14:textId="6BDE2699" w:rsidR="0069598A" w:rsidRDefault="0069598A" w:rsidP="0069598A">
      <w:pPr>
        <w:ind w:left="709"/>
        <w:rPr>
          <w:sz w:val="22"/>
          <w:szCs w:val="22"/>
        </w:rPr>
      </w:pPr>
      <w:r w:rsidRPr="00107755">
        <w:rPr>
          <w:sz w:val="22"/>
          <w:szCs w:val="22"/>
        </w:rPr>
        <w:sym w:font="Wingdings" w:char="F0A8"/>
      </w:r>
      <w:r w:rsidR="00D77621">
        <w:rPr>
          <w:sz w:val="22"/>
          <w:szCs w:val="22"/>
        </w:rPr>
        <w:t xml:space="preserve"> - inny rodzaj</w:t>
      </w:r>
    </w:p>
    <w:p w14:paraId="239B6242" w14:textId="77777777" w:rsidR="003F6982" w:rsidRPr="00750E51" w:rsidRDefault="003F6982" w:rsidP="0069598A">
      <w:pPr>
        <w:ind w:left="709"/>
        <w:rPr>
          <w:sz w:val="22"/>
          <w:szCs w:val="22"/>
        </w:rPr>
      </w:pPr>
    </w:p>
    <w:p w14:paraId="5CB5D8DD" w14:textId="761D5CCA" w:rsidR="0069598A" w:rsidRPr="00D77621" w:rsidRDefault="0069598A" w:rsidP="00310AEE">
      <w:pPr>
        <w:numPr>
          <w:ilvl w:val="6"/>
          <w:numId w:val="33"/>
        </w:numPr>
        <w:ind w:left="709" w:hanging="425"/>
        <w:jc w:val="both"/>
        <w:rPr>
          <w:i/>
          <w:sz w:val="22"/>
          <w:szCs w:val="22"/>
        </w:rPr>
      </w:pPr>
      <w:r w:rsidRPr="00D77621">
        <w:rPr>
          <w:b/>
          <w:sz w:val="22"/>
          <w:szCs w:val="22"/>
        </w:rPr>
        <w:t xml:space="preserve">Oświadczam, </w:t>
      </w:r>
      <w:r w:rsidRPr="00D77621">
        <w:rPr>
          <w:sz w:val="22"/>
          <w:szCs w:val="22"/>
        </w:rPr>
        <w:t xml:space="preserve">że wyrób oferowany jako równoważny spełnia wymagania określone przez Zamawiającego w </w:t>
      </w:r>
      <w:r w:rsidRPr="00D77621">
        <w:rPr>
          <w:b/>
          <w:sz w:val="22"/>
          <w:szCs w:val="22"/>
        </w:rPr>
        <w:t>Załączniku Nr 1</w:t>
      </w:r>
      <w:r w:rsidRPr="00D77621">
        <w:rPr>
          <w:sz w:val="22"/>
          <w:szCs w:val="22"/>
        </w:rPr>
        <w:t xml:space="preserve"> do SWZ – dotyczy</w:t>
      </w:r>
      <w:r w:rsidR="00A622B7" w:rsidRPr="00D77621">
        <w:rPr>
          <w:sz w:val="22"/>
          <w:szCs w:val="22"/>
        </w:rPr>
        <w:t xml:space="preserve"> </w:t>
      </w:r>
      <w:r w:rsidRPr="00D77621">
        <w:rPr>
          <w:sz w:val="22"/>
          <w:szCs w:val="22"/>
        </w:rPr>
        <w:t>/ nie dotyczy (</w:t>
      </w:r>
      <w:r w:rsidR="00A622B7" w:rsidRPr="00D77621">
        <w:rPr>
          <w:sz w:val="22"/>
          <w:szCs w:val="22"/>
        </w:rPr>
        <w:t>niewłaściwe</w:t>
      </w:r>
      <w:r w:rsidRPr="00D77621">
        <w:rPr>
          <w:sz w:val="22"/>
          <w:szCs w:val="22"/>
        </w:rPr>
        <w:t xml:space="preserve"> skreślić) – </w:t>
      </w:r>
      <w:r w:rsidRPr="00D77621">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46F8002C" w14:textId="428042A2" w:rsidR="00E61631" w:rsidRPr="003F6982" w:rsidRDefault="00E61631" w:rsidP="003F6982">
      <w:pPr>
        <w:rPr>
          <w:b/>
          <w:bCs/>
          <w:sz w:val="22"/>
          <w:szCs w:val="22"/>
        </w:rPr>
      </w:pPr>
    </w:p>
    <w:sectPr w:rsidR="00E61631" w:rsidRPr="003F6982" w:rsidSect="0035712B">
      <w:headerReference w:type="default" r:id="rId12"/>
      <w:footerReference w:type="default" r:id="rId13"/>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E92464" w14:textId="77777777" w:rsidR="007C38AF" w:rsidRDefault="007C38AF" w:rsidP="0035712B">
      <w:r>
        <w:separator/>
      </w:r>
    </w:p>
  </w:endnote>
  <w:endnote w:type="continuationSeparator" w:id="0">
    <w:p w14:paraId="0633072A" w14:textId="77777777" w:rsidR="007C38AF" w:rsidRDefault="007C38AF"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OpenSans-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6F0EB498" w:rsidR="00E2168F" w:rsidRDefault="00E2168F"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731A6A0" w14:textId="47F65BA4" w:rsidR="00E2168F" w:rsidRDefault="00E2168F" w:rsidP="001C7259">
    <w:pPr>
      <w:pStyle w:val="Stopka"/>
      <w:rPr>
        <w:i/>
        <w:sz w:val="16"/>
        <w:szCs w:val="16"/>
      </w:rPr>
    </w:pPr>
    <w:r w:rsidRPr="001C7259">
      <w:rPr>
        <w:i/>
        <w:sz w:val="16"/>
        <w:szCs w:val="16"/>
      </w:rPr>
      <w:t>Dostawa maty izolacyjnej tkanej jedn</w:t>
    </w:r>
    <w:r>
      <w:rPr>
        <w:i/>
        <w:sz w:val="16"/>
        <w:szCs w:val="16"/>
      </w:rPr>
      <w:t xml:space="preserve">olicie z włókien poliestrowych </w:t>
    </w:r>
    <w:r w:rsidRPr="001C7259">
      <w:rPr>
        <w:i/>
        <w:sz w:val="16"/>
        <w:szCs w:val="16"/>
      </w:rPr>
      <w:t>do ociosu i stropu dla</w:t>
    </w:r>
    <w:r>
      <w:rPr>
        <w:i/>
        <w:sz w:val="16"/>
        <w:szCs w:val="16"/>
      </w:rPr>
      <w:t xml:space="preserve"> Polskiej Grupy Górniczej S.A. </w:t>
    </w:r>
    <w:r w:rsidRPr="001C7259">
      <w:rPr>
        <w:i/>
        <w:sz w:val="16"/>
        <w:szCs w:val="16"/>
      </w:rPr>
      <w:t>Oddział KWK RUDA Ruch Bielsz</w:t>
    </w:r>
    <w:r>
      <w:rPr>
        <w:i/>
        <w:sz w:val="16"/>
        <w:szCs w:val="16"/>
      </w:rPr>
      <w:t xml:space="preserve">owice i KWK ROW Ruch Jankowice </w:t>
    </w:r>
    <w:r w:rsidRPr="001C7259">
      <w:rPr>
        <w:i/>
        <w:sz w:val="16"/>
        <w:szCs w:val="16"/>
      </w:rPr>
      <w:t>- nr grupy 281-8</w:t>
    </w:r>
    <w:r>
      <w:rPr>
        <w:i/>
        <w:sz w:val="16"/>
        <w:szCs w:val="16"/>
      </w:rPr>
      <w:t xml:space="preserve"> / Nr sprawy: 702501361.</w:t>
    </w:r>
  </w:p>
  <w:p w14:paraId="354E5F56" w14:textId="6E6C5417" w:rsidR="00E2168F" w:rsidRDefault="00E2168F" w:rsidP="00E2168F">
    <w:pPr>
      <w:pStyle w:val="Stopka"/>
    </w:pPr>
    <w:r>
      <w:rPr>
        <w:i/>
        <w:iCs/>
        <w:sz w:val="16"/>
        <w:szCs w:val="16"/>
      </w:rPr>
      <w:t>PG</w:t>
    </w:r>
    <w:r>
      <w:tab/>
    </w:r>
    <w:r>
      <w:tab/>
    </w:r>
    <w:sdt>
      <w:sdtPr>
        <w:id w:val="-1590614749"/>
        <w:docPartObj>
          <w:docPartGallery w:val="Page Numbers (Bottom of Page)"/>
          <w:docPartUnique/>
        </w:docPartObj>
      </w:sdtPr>
      <w:sdtEndPr/>
      <w:sdtContent>
        <w:r>
          <w:fldChar w:fldCharType="begin"/>
        </w:r>
        <w:r>
          <w:instrText>PAGE   \* MERGEFORMAT</w:instrText>
        </w:r>
        <w:r>
          <w:fldChar w:fldCharType="separate"/>
        </w:r>
        <w:r w:rsidR="00141436">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EEED1" w14:textId="77777777" w:rsidR="007C38AF" w:rsidRDefault="007C38AF" w:rsidP="0035712B">
      <w:r>
        <w:separator/>
      </w:r>
    </w:p>
  </w:footnote>
  <w:footnote w:type="continuationSeparator" w:id="0">
    <w:p w14:paraId="7689C3A8" w14:textId="77777777" w:rsidR="007C38AF" w:rsidRDefault="007C38AF"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3B42C2B7" w:rsidR="00E2168F" w:rsidRPr="00FA42A8" w:rsidRDefault="00E2168F" w:rsidP="001E5D8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t xml:space="preserve"> </w:t>
    </w:r>
    <w:r>
      <w:rPr>
        <w:i/>
        <w:sz w:val="16"/>
        <w:szCs w:val="16"/>
      </w:rPr>
      <w:t>W.27.08.2025</w:t>
    </w:r>
  </w:p>
  <w:p w14:paraId="60DB99A1" w14:textId="77777777" w:rsidR="00E2168F" w:rsidRDefault="00E2168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871E5"/>
    <w:multiLevelType w:val="multilevel"/>
    <w:tmpl w:val="C8A01E68"/>
    <w:name w:val="Tiret 13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5">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6">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nsid w:val="21F56D7E"/>
    <w:multiLevelType w:val="multilevel"/>
    <w:tmpl w:val="3912EBE4"/>
    <w:lvl w:ilvl="0">
      <w:start w:val="1"/>
      <w:numFmt w:val="lowerLetter"/>
      <w:lvlText w:val="%1)"/>
      <w:lvlJc w:val="left"/>
      <w:rPr>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1">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35B406AF"/>
    <w:multiLevelType w:val="multilevel"/>
    <w:tmpl w:val="4FEA3536"/>
    <w:name w:val="Tiret 13"/>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8717620"/>
    <w:multiLevelType w:val="multilevel"/>
    <w:tmpl w:val="770ED88E"/>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6">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1">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7">
    <w:nsid w:val="53233564"/>
    <w:multiLevelType w:val="multilevel"/>
    <w:tmpl w:val="8FFE848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2">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6">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58">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2">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3">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4">
    <w:nsid w:val="6ACA0F4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8">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1">
    <w:nsid w:val="7A9C1118"/>
    <w:multiLevelType w:val="multilevel"/>
    <w:tmpl w:val="13C27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AE44591"/>
    <w:multiLevelType w:val="hybridMultilevel"/>
    <w:tmpl w:val="6B88A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2"/>
  </w:num>
  <w:num w:numId="3">
    <w:abstractNumId w:val="51"/>
    <w:lvlOverride w:ilvl="0">
      <w:startOverride w:val="1"/>
    </w:lvlOverride>
  </w:num>
  <w:num w:numId="4">
    <w:abstractNumId w:val="33"/>
    <w:lvlOverride w:ilvl="0">
      <w:startOverride w:val="1"/>
    </w:lvlOverride>
  </w:num>
  <w:num w:numId="5">
    <w:abstractNumId w:val="18"/>
  </w:num>
  <w:num w:numId="6">
    <w:abstractNumId w:val="20"/>
  </w:num>
  <w:num w:numId="7">
    <w:abstractNumId w:val="30"/>
  </w:num>
  <w:num w:numId="8">
    <w:abstractNumId w:val="11"/>
  </w:num>
  <w:num w:numId="9">
    <w:abstractNumId w:val="35"/>
  </w:num>
  <w:num w:numId="10">
    <w:abstractNumId w:val="5"/>
  </w:num>
  <w:num w:numId="11">
    <w:abstractNumId w:val="46"/>
  </w:num>
  <w:num w:numId="12">
    <w:abstractNumId w:val="58"/>
  </w:num>
  <w:num w:numId="13">
    <w:abstractNumId w:val="45"/>
  </w:num>
  <w:num w:numId="14">
    <w:abstractNumId w:val="59"/>
  </w:num>
  <w:num w:numId="15">
    <w:abstractNumId w:val="4"/>
  </w:num>
  <w:num w:numId="16">
    <w:abstractNumId w:val="43"/>
  </w:num>
  <w:num w:numId="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6"/>
  </w:num>
  <w:num w:numId="22">
    <w:abstractNumId w:val="55"/>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4"/>
  </w:num>
  <w:num w:numId="28">
    <w:abstractNumId w:val="62"/>
  </w:num>
  <w:num w:numId="29">
    <w:abstractNumId w:val="68"/>
  </w:num>
  <w:num w:numId="30">
    <w:abstractNumId w:val="50"/>
  </w:num>
  <w:num w:numId="31">
    <w:abstractNumId w:val="22"/>
  </w:num>
  <w:num w:numId="32">
    <w:abstractNumId w:val="10"/>
  </w:num>
  <w:num w:numId="33">
    <w:abstractNumId w:val="41"/>
  </w:num>
  <w:num w:numId="34">
    <w:abstractNumId w:val="65"/>
  </w:num>
  <w:num w:numId="3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21"/>
  </w:num>
  <w:num w:numId="38">
    <w:abstractNumId w:val="26"/>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num>
  <w:num w:numId="41">
    <w:abstractNumId w:val="40"/>
  </w:num>
  <w:num w:numId="42">
    <w:abstractNumId w:val="54"/>
  </w:num>
  <w:num w:numId="43">
    <w:abstractNumId w:val="42"/>
  </w:num>
  <w:num w:numId="44">
    <w:abstractNumId w:val="49"/>
  </w:num>
  <w:num w:numId="45">
    <w:abstractNumId w:val="15"/>
  </w:num>
  <w:num w:numId="46">
    <w:abstractNumId w:val="19"/>
  </w:num>
  <w:num w:numId="47">
    <w:abstractNumId w:val="7"/>
  </w:num>
  <w:num w:numId="48">
    <w:abstractNumId w:val="38"/>
  </w:num>
  <w:num w:numId="49">
    <w:abstractNumId w:val="53"/>
  </w:num>
  <w:num w:numId="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8"/>
  </w:num>
  <w:num w:numId="52">
    <w:abstractNumId w:val="6"/>
  </w:num>
  <w:num w:numId="53">
    <w:abstractNumId w:val="70"/>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abstractNumId w:val="61"/>
  </w:num>
  <w:num w:numId="55">
    <w:abstractNumId w:val="14"/>
  </w:num>
  <w:num w:numId="56">
    <w:abstractNumId w:val="69"/>
  </w:num>
  <w:num w:numId="57">
    <w:abstractNumId w:val="23"/>
  </w:num>
  <w:num w:numId="58">
    <w:abstractNumId w:val="0"/>
  </w:num>
  <w:num w:numId="59">
    <w:abstractNumId w:val="34"/>
  </w:num>
  <w:num w:numId="60">
    <w:abstractNumId w:val="13"/>
  </w:num>
  <w:num w:numId="61">
    <w:abstractNumId w:val="52"/>
  </w:num>
  <w:num w:numId="62">
    <w:abstractNumId w:val="16"/>
  </w:num>
  <w:num w:numId="63">
    <w:abstractNumId w:val="63"/>
  </w:num>
  <w:num w:numId="64">
    <w:abstractNumId w:val="9"/>
  </w:num>
  <w:num w:numId="65">
    <w:abstractNumId w:val="44"/>
    <w:lvlOverride w:ilvl="0"/>
    <w:lvlOverride w:ilvl="1">
      <w:startOverride w:val="1"/>
    </w:lvlOverride>
    <w:lvlOverride w:ilvl="2"/>
    <w:lvlOverride w:ilvl="3"/>
    <w:lvlOverride w:ilvl="4"/>
    <w:lvlOverride w:ilvl="5"/>
    <w:lvlOverride w:ilvl="6"/>
    <w:lvlOverride w:ilvl="7"/>
    <w:lvlOverride w:ilvl="8"/>
  </w:num>
  <w:num w:numId="66">
    <w:abstractNumId w:val="31"/>
  </w:num>
  <w:num w:numId="67">
    <w:abstractNumId w:val="60"/>
  </w:num>
  <w:num w:numId="68">
    <w:abstractNumId w:val="3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9"/>
  </w:num>
  <w:num w:numId="70">
    <w:abstractNumId w:val="36"/>
  </w:num>
  <w:num w:numId="71">
    <w:abstractNumId w:val="17"/>
  </w:num>
  <w:num w:numId="72">
    <w:abstractNumId w:val="25"/>
  </w:num>
  <w:num w:numId="73">
    <w:abstractNumId w:val="1"/>
  </w:num>
  <w:num w:numId="74">
    <w:abstractNumId w:val="72"/>
  </w:num>
  <w:num w:numId="75">
    <w:abstractNumId w:val="64"/>
  </w:num>
  <w:num w:numId="7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26801"/>
    <w:rsid w:val="00027B2C"/>
    <w:rsid w:val="0003035D"/>
    <w:rsid w:val="00050CB5"/>
    <w:rsid w:val="0005419A"/>
    <w:rsid w:val="00062040"/>
    <w:rsid w:val="0006282E"/>
    <w:rsid w:val="00077E9C"/>
    <w:rsid w:val="00090D8E"/>
    <w:rsid w:val="000A1D41"/>
    <w:rsid w:val="000C38B5"/>
    <w:rsid w:val="000C6FC6"/>
    <w:rsid w:val="000C7EA6"/>
    <w:rsid w:val="000D6BE1"/>
    <w:rsid w:val="000E073B"/>
    <w:rsid w:val="000F0BD6"/>
    <w:rsid w:val="001123E0"/>
    <w:rsid w:val="00125EB3"/>
    <w:rsid w:val="00141436"/>
    <w:rsid w:val="00142545"/>
    <w:rsid w:val="0016008D"/>
    <w:rsid w:val="00171E0D"/>
    <w:rsid w:val="0017626F"/>
    <w:rsid w:val="001935E2"/>
    <w:rsid w:val="001A7B50"/>
    <w:rsid w:val="001B0969"/>
    <w:rsid w:val="001B15BA"/>
    <w:rsid w:val="001B7FD8"/>
    <w:rsid w:val="001C7259"/>
    <w:rsid w:val="001E5D80"/>
    <w:rsid w:val="001F4DCA"/>
    <w:rsid w:val="00221B96"/>
    <w:rsid w:val="0022441D"/>
    <w:rsid w:val="00225DCF"/>
    <w:rsid w:val="00235E96"/>
    <w:rsid w:val="00236F40"/>
    <w:rsid w:val="0026554C"/>
    <w:rsid w:val="00284F5C"/>
    <w:rsid w:val="002914D0"/>
    <w:rsid w:val="0029380C"/>
    <w:rsid w:val="002951D2"/>
    <w:rsid w:val="002B266F"/>
    <w:rsid w:val="002B4626"/>
    <w:rsid w:val="002D420E"/>
    <w:rsid w:val="002E009B"/>
    <w:rsid w:val="002F43FF"/>
    <w:rsid w:val="0030287C"/>
    <w:rsid w:val="003046D0"/>
    <w:rsid w:val="00310AEE"/>
    <w:rsid w:val="003278B4"/>
    <w:rsid w:val="00327C69"/>
    <w:rsid w:val="00344B62"/>
    <w:rsid w:val="00356A83"/>
    <w:rsid w:val="0035712B"/>
    <w:rsid w:val="003632BE"/>
    <w:rsid w:val="00365D0B"/>
    <w:rsid w:val="00375565"/>
    <w:rsid w:val="003A3CE8"/>
    <w:rsid w:val="003B0434"/>
    <w:rsid w:val="003C47A7"/>
    <w:rsid w:val="003D3377"/>
    <w:rsid w:val="003F6982"/>
    <w:rsid w:val="004134C3"/>
    <w:rsid w:val="004173A1"/>
    <w:rsid w:val="0043102E"/>
    <w:rsid w:val="00445EBF"/>
    <w:rsid w:val="004531A8"/>
    <w:rsid w:val="00474E8C"/>
    <w:rsid w:val="004916B3"/>
    <w:rsid w:val="00493290"/>
    <w:rsid w:val="004B366D"/>
    <w:rsid w:val="004B4BAB"/>
    <w:rsid w:val="004F2EA0"/>
    <w:rsid w:val="005021CE"/>
    <w:rsid w:val="00515B64"/>
    <w:rsid w:val="00553807"/>
    <w:rsid w:val="00591288"/>
    <w:rsid w:val="00594F40"/>
    <w:rsid w:val="00596942"/>
    <w:rsid w:val="005A240F"/>
    <w:rsid w:val="005A6CD3"/>
    <w:rsid w:val="005B1F36"/>
    <w:rsid w:val="005B1F77"/>
    <w:rsid w:val="005B2842"/>
    <w:rsid w:val="005B3D7E"/>
    <w:rsid w:val="005C0700"/>
    <w:rsid w:val="005C3DDE"/>
    <w:rsid w:val="005C41F9"/>
    <w:rsid w:val="005E0D4E"/>
    <w:rsid w:val="005F2CA2"/>
    <w:rsid w:val="005F6015"/>
    <w:rsid w:val="00601B9C"/>
    <w:rsid w:val="00614345"/>
    <w:rsid w:val="00632415"/>
    <w:rsid w:val="006520F7"/>
    <w:rsid w:val="00673834"/>
    <w:rsid w:val="00690576"/>
    <w:rsid w:val="0069488B"/>
    <w:rsid w:val="0069598A"/>
    <w:rsid w:val="006B02D7"/>
    <w:rsid w:val="006B1CC8"/>
    <w:rsid w:val="006B32F5"/>
    <w:rsid w:val="006D73EE"/>
    <w:rsid w:val="006F0C0B"/>
    <w:rsid w:val="006F4A81"/>
    <w:rsid w:val="00722949"/>
    <w:rsid w:val="0072329D"/>
    <w:rsid w:val="0073300F"/>
    <w:rsid w:val="007362C1"/>
    <w:rsid w:val="007449EA"/>
    <w:rsid w:val="007500C6"/>
    <w:rsid w:val="00760F8A"/>
    <w:rsid w:val="00772586"/>
    <w:rsid w:val="00781AF6"/>
    <w:rsid w:val="007A558F"/>
    <w:rsid w:val="007B05FA"/>
    <w:rsid w:val="007C38AF"/>
    <w:rsid w:val="007D5ED9"/>
    <w:rsid w:val="007F5281"/>
    <w:rsid w:val="00816339"/>
    <w:rsid w:val="0082539A"/>
    <w:rsid w:val="00830227"/>
    <w:rsid w:val="00831CB0"/>
    <w:rsid w:val="00832FF4"/>
    <w:rsid w:val="00837F7B"/>
    <w:rsid w:val="00855E06"/>
    <w:rsid w:val="00864FC9"/>
    <w:rsid w:val="0088374E"/>
    <w:rsid w:val="0088726E"/>
    <w:rsid w:val="008A4E34"/>
    <w:rsid w:val="008D4054"/>
    <w:rsid w:val="008D771E"/>
    <w:rsid w:val="008E1A5E"/>
    <w:rsid w:val="00901407"/>
    <w:rsid w:val="009141E8"/>
    <w:rsid w:val="00915D9D"/>
    <w:rsid w:val="00924E67"/>
    <w:rsid w:val="00966204"/>
    <w:rsid w:val="00966AB2"/>
    <w:rsid w:val="0098644B"/>
    <w:rsid w:val="009A0786"/>
    <w:rsid w:val="009C62F1"/>
    <w:rsid w:val="00A040E9"/>
    <w:rsid w:val="00A27858"/>
    <w:rsid w:val="00A314B3"/>
    <w:rsid w:val="00A36738"/>
    <w:rsid w:val="00A5640C"/>
    <w:rsid w:val="00A622B7"/>
    <w:rsid w:val="00A670C8"/>
    <w:rsid w:val="00A7014D"/>
    <w:rsid w:val="00A70228"/>
    <w:rsid w:val="00A828CC"/>
    <w:rsid w:val="00A975CC"/>
    <w:rsid w:val="00AB0CE3"/>
    <w:rsid w:val="00AD2F0A"/>
    <w:rsid w:val="00AD60D1"/>
    <w:rsid w:val="00AF3B93"/>
    <w:rsid w:val="00B22FFF"/>
    <w:rsid w:val="00B271A3"/>
    <w:rsid w:val="00B326D4"/>
    <w:rsid w:val="00B44434"/>
    <w:rsid w:val="00B505B6"/>
    <w:rsid w:val="00B5307A"/>
    <w:rsid w:val="00B6260E"/>
    <w:rsid w:val="00B906DD"/>
    <w:rsid w:val="00B95023"/>
    <w:rsid w:val="00BC1FD7"/>
    <w:rsid w:val="00BD3486"/>
    <w:rsid w:val="00BE34B0"/>
    <w:rsid w:val="00BE59CD"/>
    <w:rsid w:val="00BF7515"/>
    <w:rsid w:val="00C21A98"/>
    <w:rsid w:val="00C27E61"/>
    <w:rsid w:val="00C57C45"/>
    <w:rsid w:val="00C6024A"/>
    <w:rsid w:val="00C60B9E"/>
    <w:rsid w:val="00C65D1B"/>
    <w:rsid w:val="00C66DDD"/>
    <w:rsid w:val="00C85095"/>
    <w:rsid w:val="00C93090"/>
    <w:rsid w:val="00CA0885"/>
    <w:rsid w:val="00CC4028"/>
    <w:rsid w:val="00CD27FF"/>
    <w:rsid w:val="00CF09DA"/>
    <w:rsid w:val="00CF51D5"/>
    <w:rsid w:val="00CF5962"/>
    <w:rsid w:val="00D6061D"/>
    <w:rsid w:val="00D77621"/>
    <w:rsid w:val="00D81285"/>
    <w:rsid w:val="00D91390"/>
    <w:rsid w:val="00DE4A41"/>
    <w:rsid w:val="00E00E74"/>
    <w:rsid w:val="00E039B9"/>
    <w:rsid w:val="00E2168F"/>
    <w:rsid w:val="00E36F42"/>
    <w:rsid w:val="00E61631"/>
    <w:rsid w:val="00E64F6B"/>
    <w:rsid w:val="00E75B48"/>
    <w:rsid w:val="00E81013"/>
    <w:rsid w:val="00E90248"/>
    <w:rsid w:val="00EA3585"/>
    <w:rsid w:val="00EC1F1A"/>
    <w:rsid w:val="00ED7924"/>
    <w:rsid w:val="00F046C7"/>
    <w:rsid w:val="00F33A82"/>
    <w:rsid w:val="00F736EC"/>
    <w:rsid w:val="00F8322A"/>
    <w:rsid w:val="00F85083"/>
    <w:rsid w:val="00F86420"/>
    <w:rsid w:val="00F92250"/>
    <w:rsid w:val="00FA7DAB"/>
    <w:rsid w:val="00FC63DA"/>
    <w:rsid w:val="00FD579C"/>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7C5F3AF-80DB-4662-9A8D-6336EEDF5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906</Words>
  <Characters>5436</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6330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Monika Karas</cp:lastModifiedBy>
  <cp:revision>3</cp:revision>
  <cp:lastPrinted>2025-09-10T10:02:00Z</cp:lastPrinted>
  <dcterms:created xsi:type="dcterms:W3CDTF">2025-09-12T08:47:00Z</dcterms:created>
  <dcterms:modified xsi:type="dcterms:W3CDTF">2025-09-12T09:31:00Z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